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A559CE">
        <w:rPr>
          <w:rFonts w:cs="Arial" w:hint="eastAsia"/>
          <w:bCs/>
          <w:sz w:val="20"/>
          <w:lang w:eastAsia="ja-JP"/>
        </w:rPr>
        <w:t>5</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A923B3">
        <w:rPr>
          <w:rFonts w:cs="Arial" w:hint="eastAsia"/>
          <w:bCs/>
          <w:sz w:val="20"/>
          <w:lang w:eastAsia="ja-JP"/>
        </w:rPr>
        <w:t>4917</w:t>
      </w:r>
    </w:p>
    <w:p w:rsidR="0045740A" w:rsidRPr="0093682F" w:rsidRDefault="00A559CE" w:rsidP="0045740A">
      <w:pPr>
        <w:pStyle w:val="TdocHeader2"/>
        <w:jc w:val="left"/>
        <w:rPr>
          <w:rFonts w:eastAsiaTheme="minorEastAsia"/>
          <w:lang w:val="en-US"/>
        </w:rPr>
      </w:pPr>
      <w:r>
        <w:rPr>
          <w:rFonts w:eastAsia="ＭＳ 明朝" w:cs="Arial" w:hint="eastAsia"/>
          <w:bCs/>
          <w:sz w:val="20"/>
          <w:lang w:val="en-US" w:eastAsia="ja-JP"/>
        </w:rPr>
        <w:t>Nanjing, China</w:t>
      </w:r>
      <w:r>
        <w:rPr>
          <w:rFonts w:eastAsia="ＭＳ 明朝" w:cs="Arial"/>
          <w:bCs/>
          <w:sz w:val="20"/>
          <w:lang w:val="en-US" w:eastAsia="ja-JP"/>
        </w:rPr>
        <w:t xml:space="preserve"> </w:t>
      </w:r>
      <w:r>
        <w:rPr>
          <w:rFonts w:eastAsia="ＭＳ 明朝" w:cs="Arial" w:hint="eastAsia"/>
          <w:bCs/>
          <w:sz w:val="20"/>
          <w:lang w:val="en-US" w:eastAsia="ja-JP"/>
        </w:rPr>
        <w:t>23</w:t>
      </w:r>
      <w:r>
        <w:rPr>
          <w:rFonts w:eastAsia="ＭＳ 明朝" w:cs="Arial"/>
          <w:bCs/>
          <w:sz w:val="20"/>
          <w:lang w:val="en-US" w:eastAsia="ja-JP"/>
        </w:rPr>
        <w:t xml:space="preserve">th - </w:t>
      </w:r>
      <w:r>
        <w:rPr>
          <w:rFonts w:eastAsia="ＭＳ 明朝" w:cs="Arial" w:hint="eastAsia"/>
          <w:bCs/>
          <w:sz w:val="20"/>
          <w:lang w:val="en-US" w:eastAsia="ja-JP"/>
        </w:rPr>
        <w:t>27</w:t>
      </w:r>
      <w:r w:rsidR="006863FE" w:rsidRPr="006863FE">
        <w:rPr>
          <w:rFonts w:eastAsia="ＭＳ 明朝" w:cs="Arial"/>
          <w:bCs/>
          <w:sz w:val="20"/>
          <w:lang w:val="en-US" w:eastAsia="ja-JP"/>
        </w:rPr>
        <w:t xml:space="preserve">th </w:t>
      </w:r>
      <w:r>
        <w:rPr>
          <w:rFonts w:eastAsia="ＭＳ 明朝" w:cs="Arial" w:hint="eastAsia"/>
          <w:bCs/>
          <w:sz w:val="20"/>
          <w:lang w:val="en-US" w:eastAsia="ja-JP"/>
        </w:rPr>
        <w:t>May</w:t>
      </w:r>
      <w:r w:rsidR="006863FE" w:rsidRPr="006863FE">
        <w:rPr>
          <w:rFonts w:eastAsia="ＭＳ 明朝" w:cs="Arial"/>
          <w:bCs/>
          <w:sz w:val="20"/>
          <w:lang w:val="en-US" w:eastAsia="ja-JP"/>
        </w:rPr>
        <w:t xml:space="preserve"> 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559CE">
        <w:rPr>
          <w:rFonts w:eastAsiaTheme="minorEastAsia" w:hint="eastAsia"/>
          <w:b w:val="0"/>
          <w:sz w:val="20"/>
          <w:lang w:eastAsia="ja-JP"/>
        </w:rPr>
        <w:t xml:space="preserve">Clarification of </w:t>
      </w:r>
      <w:r w:rsidR="0079255A">
        <w:rPr>
          <w:rFonts w:eastAsiaTheme="minorEastAsia" w:hint="eastAsia"/>
          <w:b w:val="0"/>
          <w:sz w:val="20"/>
          <w:lang w:eastAsia="ja-JP"/>
        </w:rPr>
        <w:t xml:space="preserve">antenna port usage </w:t>
      </w:r>
      <w:r w:rsidR="00A559CE">
        <w:rPr>
          <w:rFonts w:eastAsiaTheme="minorEastAsia" w:hint="eastAsia"/>
          <w:b w:val="0"/>
          <w:sz w:val="20"/>
          <w:lang w:eastAsia="ja-JP"/>
        </w:rPr>
        <w:t>of NB-IoT</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A559CE">
        <w:rPr>
          <w:rFonts w:ascii="Arial" w:hAnsi="Arial" w:hint="eastAsia"/>
          <w:lang w:eastAsia="ja-JP"/>
        </w:rPr>
        <w:t>6</w:t>
      </w:r>
      <w:r>
        <w:rPr>
          <w:rFonts w:ascii="Arial" w:hAnsi="Arial" w:hint="eastAsia"/>
          <w:lang w:eastAsia="ja-JP"/>
        </w:rPr>
        <w:t>.1</w:t>
      </w:r>
      <w:r w:rsidR="00A559CE">
        <w:rPr>
          <w:rFonts w:ascii="Arial" w:hAnsi="Arial" w:hint="eastAsia"/>
          <w:lang w:eastAsia="ja-JP"/>
        </w:rPr>
        <w:t>.6</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D673C2" w:rsidP="0045740A">
      <w:pPr>
        <w:pStyle w:val="1"/>
        <w:tabs>
          <w:tab w:val="num" w:pos="426"/>
        </w:tabs>
        <w:ind w:left="426" w:hanging="426"/>
        <w:rPr>
          <w:szCs w:val="36"/>
          <w:lang w:eastAsia="ja-JP"/>
        </w:rPr>
      </w:pPr>
      <w:r>
        <w:rPr>
          <w:rFonts w:hint="eastAsia"/>
          <w:szCs w:val="36"/>
          <w:lang w:eastAsia="ja-JP"/>
        </w:rPr>
        <w:t>Introduction</w:t>
      </w:r>
    </w:p>
    <w:p w:rsidR="00ED4A22" w:rsidRDefault="00ED4A22" w:rsidP="00C0347D">
      <w:pPr>
        <w:pStyle w:val="TdocHeader2"/>
        <w:jc w:val="left"/>
        <w:rPr>
          <w:rFonts w:eastAsiaTheme="minorEastAsia"/>
          <w:lang w:eastAsia="ja-JP"/>
        </w:rPr>
      </w:pPr>
    </w:p>
    <w:p w:rsidR="00C43982" w:rsidRDefault="0038537C" w:rsidP="00F018D7">
      <w:pPr>
        <w:rPr>
          <w:rFonts w:cs="Arial"/>
          <w:lang w:eastAsia="ja-JP"/>
        </w:rPr>
      </w:pPr>
      <w:r>
        <w:rPr>
          <w:rFonts w:cs="Arial"/>
          <w:lang w:eastAsia="ja-JP"/>
        </w:rPr>
        <w:t>This document discusses</w:t>
      </w:r>
      <w:r w:rsidR="001B37D2">
        <w:rPr>
          <w:rFonts w:cs="Arial" w:hint="eastAsia"/>
          <w:lang w:eastAsia="ja-JP"/>
        </w:rPr>
        <w:t xml:space="preserve"> </w:t>
      </w:r>
      <w:r w:rsidR="002E28CB">
        <w:rPr>
          <w:rFonts w:cs="Arial" w:hint="eastAsia"/>
          <w:lang w:eastAsia="ja-JP"/>
        </w:rPr>
        <w:t xml:space="preserve">antenna port usage and corresponding </w:t>
      </w:r>
      <w:r w:rsidR="001B37D2">
        <w:rPr>
          <w:rFonts w:cs="Arial" w:hint="eastAsia"/>
          <w:lang w:eastAsia="ja-JP"/>
        </w:rPr>
        <w:t>quasi co-location of NB-IoT.</w:t>
      </w:r>
    </w:p>
    <w:p w:rsidR="00F018D7" w:rsidRPr="00F018D7" w:rsidRDefault="00F018D7" w:rsidP="00F018D7">
      <w:pPr>
        <w:rPr>
          <w:rFonts w:cs="Arial"/>
          <w:lang w:eastAsia="ja-JP"/>
        </w:rPr>
      </w:pP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1B37D2" w:rsidRDefault="00EF4664" w:rsidP="00F018D7">
      <w:pPr>
        <w:rPr>
          <w:rFonts w:cs="Arial"/>
          <w:lang w:eastAsia="ja-JP"/>
        </w:rPr>
      </w:pPr>
      <w:r>
        <w:rPr>
          <w:rFonts w:cs="Arial" w:hint="eastAsia"/>
          <w:lang w:eastAsia="ja-JP"/>
        </w:rPr>
        <w:t>According to CR to 36211[1], there are following descriptions on downlink antenna ports.</w:t>
      </w:r>
    </w:p>
    <w:p w:rsidR="00EF4664" w:rsidRDefault="00EF4664" w:rsidP="00EF4664">
      <w:pPr>
        <w:ind w:left="568"/>
        <w:rPr>
          <w:rFonts w:cs="Arial"/>
          <w:lang w:eastAsia="ja-JP"/>
        </w:rPr>
      </w:pPr>
      <w:r>
        <w:rPr>
          <w:rFonts w:cs="Arial" w:hint="eastAsia"/>
          <w:lang w:eastAsia="ja-JP"/>
        </w:rPr>
        <w:t>- NRS: "</w:t>
      </w:r>
      <w:r w:rsidRPr="00EF4664">
        <w:rPr>
          <w:rFonts w:cs="Arial"/>
          <w:lang w:eastAsia="ja-JP"/>
        </w:rPr>
        <w:t>Narrowband reference signals are transmitted on one or two antenna ports 0 to 1.</w:t>
      </w:r>
      <w:r>
        <w:rPr>
          <w:rFonts w:cs="Arial" w:hint="eastAsia"/>
          <w:lang w:eastAsia="ja-JP"/>
        </w:rPr>
        <w:t>"</w:t>
      </w:r>
    </w:p>
    <w:p w:rsidR="00EF4664" w:rsidRDefault="00EF4664" w:rsidP="00EF4664">
      <w:pPr>
        <w:ind w:left="568"/>
        <w:rPr>
          <w:rFonts w:cs="Arial"/>
          <w:lang w:eastAsia="ja-JP"/>
        </w:rPr>
      </w:pPr>
      <w:r>
        <w:rPr>
          <w:rFonts w:cs="Arial" w:hint="eastAsia"/>
          <w:lang w:eastAsia="ja-JP"/>
        </w:rPr>
        <w:t>- NPDCCH: "</w:t>
      </w:r>
      <w:r w:rsidRPr="00EF4664">
        <w:rPr>
          <w:rFonts w:cs="Arial"/>
          <w:lang w:eastAsia="ja-JP"/>
        </w:rPr>
        <w:t>Layer mapping and precoding shall be done according to clause 6.6.3 using the same set of antenna ports as the NPBCH</w:t>
      </w:r>
      <w:r>
        <w:rPr>
          <w:rFonts w:cs="Arial" w:hint="eastAsia"/>
          <w:lang w:eastAsia="ja-JP"/>
        </w:rPr>
        <w:t>"</w:t>
      </w:r>
      <w:r w:rsidRPr="00EF4664">
        <w:rPr>
          <w:rFonts w:cs="Arial"/>
          <w:lang w:eastAsia="ja-JP"/>
        </w:rPr>
        <w:t>.</w:t>
      </w:r>
    </w:p>
    <w:p w:rsidR="00EF4664" w:rsidRDefault="00EF4664" w:rsidP="00EF4664">
      <w:pPr>
        <w:ind w:left="568"/>
        <w:rPr>
          <w:rFonts w:cs="Arial"/>
          <w:lang w:eastAsia="ja-JP"/>
        </w:rPr>
      </w:pPr>
      <w:r>
        <w:rPr>
          <w:rFonts w:cs="Arial" w:hint="eastAsia"/>
          <w:lang w:eastAsia="ja-JP"/>
        </w:rPr>
        <w:t>- NPDSCH: "</w:t>
      </w:r>
      <w:r w:rsidRPr="00EF4664">
        <w:rPr>
          <w:rFonts w:cs="Arial"/>
          <w:lang w:eastAsia="ja-JP"/>
        </w:rPr>
        <w:t>Layer mapping and precoding shall be done according to clause 6.6.3 using the same set of antenna ports as the NPBCH.</w:t>
      </w:r>
      <w:r>
        <w:rPr>
          <w:rFonts w:cs="Arial" w:hint="eastAsia"/>
          <w:lang w:eastAsia="ja-JP"/>
        </w:rPr>
        <w:t>"</w:t>
      </w:r>
    </w:p>
    <w:p w:rsidR="00EF4664" w:rsidRDefault="00EF4664" w:rsidP="00EF4664">
      <w:pPr>
        <w:ind w:left="568"/>
        <w:rPr>
          <w:lang w:eastAsia="ja-JP"/>
        </w:rPr>
      </w:pPr>
      <w:r>
        <w:rPr>
          <w:rFonts w:cs="Arial" w:hint="eastAsia"/>
          <w:lang w:eastAsia="ja-JP"/>
        </w:rPr>
        <w:t>- NPBCH: "</w:t>
      </w:r>
      <w:r>
        <w:t xml:space="preserve">Layer mapping and precoding shall be done according to clause 6.6.3 with </w:t>
      </w:r>
      <w:r w:rsidRPr="009D1D48">
        <w:rPr>
          <w:position w:val="-10"/>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8pt" o:ole="">
            <v:imagedata r:id="rId10" o:title=""/>
          </v:shape>
          <o:OLEObject Type="Embed" ProgID="Equation.3" ShapeID="_x0000_i1025" DrawAspect="Content" ObjectID="_1524670205" r:id="rId11"/>
        </w:object>
      </w:r>
      <w:r>
        <w:t>"</w:t>
      </w:r>
      <w:r>
        <w:rPr>
          <w:rFonts w:hint="eastAsia"/>
          <w:lang w:eastAsia="ja-JP"/>
        </w:rPr>
        <w:t xml:space="preserve"> Therefore, antenna port 0 and 1 are used.</w:t>
      </w:r>
    </w:p>
    <w:p w:rsidR="00EF4664" w:rsidRDefault="00EF4664" w:rsidP="00EF4664">
      <w:pPr>
        <w:ind w:left="568"/>
        <w:rPr>
          <w:lang w:eastAsia="ja-JP"/>
        </w:rPr>
      </w:pPr>
      <w:r>
        <w:rPr>
          <w:rFonts w:hint="eastAsia"/>
          <w:lang w:eastAsia="ja-JP"/>
        </w:rPr>
        <w:t xml:space="preserve">- NPSS, NSSS: </w:t>
      </w:r>
      <w:r w:rsidR="0038537C">
        <w:rPr>
          <w:lang w:eastAsia="ja-JP"/>
        </w:rPr>
        <w:t>Specific antenna ports which are</w:t>
      </w:r>
      <w:r>
        <w:rPr>
          <w:rFonts w:hint="eastAsia"/>
          <w:lang w:eastAsia="ja-JP"/>
        </w:rPr>
        <w:t xml:space="preserve"> different from other downlink transmission.</w:t>
      </w:r>
    </w:p>
    <w:p w:rsidR="00EF4664" w:rsidRDefault="00D43E74" w:rsidP="00EF4664">
      <w:pPr>
        <w:rPr>
          <w:lang w:eastAsia="ja-JP"/>
        </w:rPr>
      </w:pPr>
      <w:r>
        <w:rPr>
          <w:rFonts w:hint="eastAsia"/>
          <w:lang w:eastAsia="ja-JP"/>
        </w:rPr>
        <w:t>Therefore, our understanding is NRS, NPDCCH, NPDSCH and NBPCH are transmitted by antenna port 0 and 1, which are same as the antenna port 0 and 1 used for LTE CRS.</w:t>
      </w:r>
    </w:p>
    <w:p w:rsidR="00D43E74" w:rsidRDefault="00D43E74" w:rsidP="00EF4664">
      <w:pPr>
        <w:rPr>
          <w:lang w:eastAsia="ja-JP"/>
        </w:rPr>
      </w:pPr>
    </w:p>
    <w:p w:rsidR="00D43E74" w:rsidRDefault="00D43E74" w:rsidP="00EF4664">
      <w:pPr>
        <w:rPr>
          <w:lang w:eastAsia="ja-JP"/>
        </w:rPr>
      </w:pPr>
      <w:r>
        <w:rPr>
          <w:rFonts w:hint="eastAsia"/>
          <w:lang w:eastAsia="ja-JP"/>
        </w:rPr>
        <w:t>On same PCI-indicator,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D43E74" w:rsidRPr="00DF2840" w:rsidTr="000115FC">
        <w:tc>
          <w:tcPr>
            <w:tcW w:w="9857" w:type="dxa"/>
            <w:shd w:val="clear" w:color="auto" w:fill="auto"/>
          </w:tcPr>
          <w:p w:rsidR="00D43E74" w:rsidRPr="008C73AF" w:rsidRDefault="00D43E74" w:rsidP="000115FC">
            <w:pPr>
              <w:rPr>
                <w:rFonts w:ascii="Times" w:hAnsi="Times" w:cs="Times"/>
                <w:lang w:val="en-US" w:eastAsia="ja-JP"/>
              </w:rPr>
            </w:pPr>
            <w:r w:rsidRPr="008C73AF">
              <w:rPr>
                <w:rFonts w:ascii="Times" w:hAnsi="Times" w:cs="Times"/>
                <w:highlight w:val="green"/>
                <w:lang w:val="en-US" w:eastAsia="ja-JP"/>
              </w:rPr>
              <w:t>RAN1#84 agreements:</w:t>
            </w:r>
          </w:p>
          <w:p w:rsidR="00D43E74" w:rsidRPr="006810C8" w:rsidRDefault="00D43E74" w:rsidP="00D43E74">
            <w:pPr>
              <w:numPr>
                <w:ilvl w:val="0"/>
                <w:numId w:val="27"/>
              </w:numPr>
              <w:spacing w:after="0"/>
              <w:rPr>
                <w:rFonts w:ascii="Times" w:hAnsi="Times" w:cs="Times"/>
                <w:lang w:val="en-US" w:eastAsia="ja-JP"/>
              </w:rPr>
            </w:pPr>
            <w:r w:rsidRPr="006810C8">
              <w:rPr>
                <w:rFonts w:ascii="Times" w:hAnsi="Times" w:cs="Times"/>
                <w:lang w:val="en-US" w:eastAsia="ja-JP"/>
              </w:rPr>
              <w:t>When the same-PCI indicator is set to true</w:t>
            </w:r>
          </w:p>
          <w:p w:rsidR="00D43E74" w:rsidRPr="006810C8" w:rsidRDefault="00D43E74" w:rsidP="00D43E74">
            <w:pPr>
              <w:numPr>
                <w:ilvl w:val="1"/>
                <w:numId w:val="27"/>
              </w:numPr>
              <w:spacing w:after="0"/>
              <w:rPr>
                <w:rFonts w:ascii="Times" w:hAnsi="Times" w:cs="Times"/>
                <w:lang w:val="en-US" w:eastAsia="ja-JP"/>
              </w:rPr>
            </w:pPr>
            <w:r w:rsidRPr="006810C8">
              <w:rPr>
                <w:rFonts w:ascii="Times" w:hAnsi="Times" w:cs="Times"/>
                <w:lang w:val="en-US" w:eastAsia="ja-JP"/>
              </w:rPr>
              <w:t xml:space="preserve">The UE may assume that cell ID is identical for NB-IoT and LTE,  </w:t>
            </w:r>
          </w:p>
          <w:p w:rsidR="00D43E74" w:rsidRPr="006810C8" w:rsidRDefault="00D43E74" w:rsidP="00D43E74">
            <w:pPr>
              <w:numPr>
                <w:ilvl w:val="1"/>
                <w:numId w:val="27"/>
              </w:numPr>
              <w:spacing w:after="0"/>
              <w:rPr>
                <w:rFonts w:ascii="Times" w:hAnsi="Times" w:cs="Times"/>
                <w:lang w:val="en-US" w:eastAsia="ja-JP"/>
              </w:rPr>
            </w:pPr>
            <w:r w:rsidRPr="006810C8">
              <w:rPr>
                <w:rFonts w:ascii="Times" w:hAnsi="Times" w:cs="Times"/>
                <w:lang w:val="en-US" w:eastAsia="ja-JP"/>
              </w:rPr>
              <w:t>The UE may assume that the number of antenna ports is the same for LTE CRS as for NB-RS</w:t>
            </w:r>
          </w:p>
          <w:p w:rsidR="00D43E74" w:rsidRPr="006810C8" w:rsidRDefault="00D43E74" w:rsidP="00D43E74">
            <w:pPr>
              <w:numPr>
                <w:ilvl w:val="1"/>
                <w:numId w:val="27"/>
              </w:numPr>
              <w:spacing w:after="0"/>
              <w:rPr>
                <w:rFonts w:ascii="Times" w:hAnsi="Times" w:cs="Times"/>
                <w:lang w:val="en-US" w:eastAsia="ja-JP"/>
              </w:rPr>
            </w:pPr>
            <w:r w:rsidRPr="006810C8">
              <w:rPr>
                <w:rFonts w:ascii="Times" w:hAnsi="Times" w:cs="Times"/>
                <w:lang w:val="en-US" w:eastAsia="ja-JP"/>
              </w:rPr>
              <w:t>The UE may assume that the channel can be inferred from both NB-RS and LTE CRS</w:t>
            </w:r>
          </w:p>
          <w:p w:rsidR="00D43E74" w:rsidRPr="006810C8" w:rsidRDefault="00D43E74" w:rsidP="00D43E74">
            <w:pPr>
              <w:numPr>
                <w:ilvl w:val="2"/>
                <w:numId w:val="27"/>
              </w:numPr>
              <w:spacing w:after="0"/>
              <w:rPr>
                <w:rFonts w:ascii="Times" w:hAnsi="Times" w:cs="Times"/>
                <w:lang w:val="en-US" w:eastAsia="ja-JP"/>
              </w:rPr>
            </w:pPr>
            <w:r w:rsidRPr="006810C8">
              <w:rPr>
                <w:rFonts w:ascii="Times" w:hAnsi="Times" w:cs="Times"/>
                <w:lang w:val="en-US" w:eastAsia="ja-JP"/>
              </w:rPr>
              <w:t>LTE CRS port 0 is associated with NB-RS port 0 and LTE CRS port 1 is associated with NB-RS port 1</w:t>
            </w:r>
          </w:p>
          <w:p w:rsidR="00D43E74" w:rsidRPr="008C73AF" w:rsidRDefault="00D43E74" w:rsidP="00D43E74">
            <w:pPr>
              <w:numPr>
                <w:ilvl w:val="1"/>
                <w:numId w:val="27"/>
              </w:numPr>
              <w:spacing w:after="0"/>
              <w:rPr>
                <w:rFonts w:ascii="Times" w:hAnsi="Times" w:cs="Times"/>
                <w:lang w:val="en-US" w:eastAsia="ja-JP"/>
              </w:rPr>
            </w:pPr>
            <w:r w:rsidRPr="008C73AF">
              <w:rPr>
                <w:rFonts w:ascii="Times" w:hAnsi="Times" w:cs="Times"/>
                <w:lang w:val="en-US" w:eastAsia="ja-JP"/>
              </w:rPr>
              <w:t>The UE may assume LTE CRS are available in the NB-IoT PRB in all subframes where NB-RS are available</w:t>
            </w:r>
          </w:p>
          <w:p w:rsidR="00D43E74" w:rsidRPr="008C73AF" w:rsidRDefault="00D43E74" w:rsidP="00D43E74">
            <w:pPr>
              <w:numPr>
                <w:ilvl w:val="1"/>
                <w:numId w:val="27"/>
              </w:numPr>
              <w:spacing w:after="0"/>
              <w:rPr>
                <w:rFonts w:ascii="Times" w:hAnsi="Times" w:cs="Times"/>
                <w:lang w:val="en-US" w:eastAsia="ja-JP"/>
              </w:rPr>
            </w:pPr>
            <w:r w:rsidRPr="008C73AF">
              <w:rPr>
                <w:rFonts w:ascii="Times" w:hAnsi="Times" w:cs="Times"/>
                <w:lang w:val="en-US" w:eastAsia="ja-JP"/>
              </w:rPr>
              <w:t>When the same-PCI indicator is set to false</w:t>
            </w:r>
          </w:p>
          <w:p w:rsidR="00D43E74" w:rsidRPr="008C73AF" w:rsidRDefault="00D43E74" w:rsidP="00D43E74">
            <w:pPr>
              <w:numPr>
                <w:ilvl w:val="2"/>
                <w:numId w:val="27"/>
              </w:numPr>
              <w:spacing w:after="0"/>
              <w:rPr>
                <w:rFonts w:ascii="Times" w:hAnsi="Times" w:cs="Times"/>
                <w:lang w:val="en-US" w:eastAsia="ja-JP"/>
              </w:rPr>
            </w:pPr>
            <w:r w:rsidRPr="008C73AF">
              <w:rPr>
                <w:rFonts w:ascii="Times" w:hAnsi="Times" w:cs="Times"/>
                <w:lang w:val="en-US" w:eastAsia="ja-JP"/>
              </w:rPr>
              <w:t>The UE shall make no assumption on the LTE CRS except for the RE locations for rate matching</w:t>
            </w:r>
          </w:p>
        </w:tc>
      </w:tr>
    </w:tbl>
    <w:p w:rsidR="00D43E74" w:rsidRDefault="00D43E74" w:rsidP="00D43E74">
      <w:pPr>
        <w:tabs>
          <w:tab w:val="left" w:pos="567"/>
        </w:tabs>
        <w:snapToGrid w:val="0"/>
        <w:rPr>
          <w:rFonts w:ascii="Times" w:hAnsi="Times" w:cs="Times"/>
          <w:lang w:val="en-US" w:eastAsia="ja-JP"/>
        </w:rPr>
      </w:pPr>
    </w:p>
    <w:p w:rsidR="00E91B2D" w:rsidRDefault="00E91B2D" w:rsidP="00D43E74">
      <w:pPr>
        <w:tabs>
          <w:tab w:val="left" w:pos="567"/>
        </w:tabs>
        <w:snapToGrid w:val="0"/>
        <w:rPr>
          <w:rFonts w:ascii="Times" w:hAnsi="Times" w:cs="Times"/>
          <w:lang w:val="en-US" w:eastAsia="ja-JP"/>
        </w:rPr>
      </w:pPr>
      <w:r>
        <w:rPr>
          <w:rFonts w:ascii="Times" w:hAnsi="Times" w:cs="Times" w:hint="eastAsia"/>
          <w:lang w:val="en-US" w:eastAsia="ja-JP"/>
        </w:rPr>
        <w:t>Therefore, when the same-PCI indicator is set to false, the current description to use the s</w:t>
      </w:r>
      <w:r w:rsidR="00F21471">
        <w:rPr>
          <w:rFonts w:ascii="Times" w:hAnsi="Times" w:cs="Times" w:hint="eastAsia"/>
          <w:lang w:val="en-US" w:eastAsia="ja-JP"/>
        </w:rPr>
        <w:t>ame antenna port 0/1 with CRS are</w:t>
      </w:r>
      <w:r>
        <w:rPr>
          <w:rFonts w:ascii="Times" w:hAnsi="Times" w:cs="Times" w:hint="eastAsia"/>
          <w:lang w:val="en-US" w:eastAsia="ja-JP"/>
        </w:rPr>
        <w:t xml:space="preserve"> not correct. Therefore, we propose following. By using different antenna ports, by the description of TS36.213,"</w:t>
      </w:r>
      <w:r w:rsidR="00D53AD6">
        <w:rPr>
          <w:rFonts w:ascii="Times" w:hAnsi="Times" w:cs="Times" w:hint="eastAsia"/>
          <w:lang w:val="en-US" w:eastAsia="ja-JP"/>
        </w:rPr>
        <w:t>a</w:t>
      </w:r>
      <w:r w:rsidRPr="00E91B2D">
        <w:rPr>
          <w:rFonts w:ascii="Times" w:hAnsi="Times" w:cs="Times"/>
          <w:lang w:val="en-US" w:eastAsia="ja-JP"/>
        </w:rPr>
        <w:t xml:space="preserve"> UE shall not assume that two antenna ports are quasi co-loc</w:t>
      </w:r>
      <w:r>
        <w:rPr>
          <w:rFonts w:ascii="Times" w:hAnsi="Times" w:cs="Times"/>
          <w:lang w:val="en-US" w:eastAsia="ja-JP"/>
        </w:rPr>
        <w:t>ated unless specified ot</w:t>
      </w:r>
      <w:r w:rsidR="00F21471">
        <w:rPr>
          <w:rFonts w:ascii="Times" w:hAnsi="Times" w:cs="Times"/>
          <w:lang w:val="en-US" w:eastAsia="ja-JP"/>
        </w:rPr>
        <w:t xml:space="preserve">herwise", the above agreement </w:t>
      </w:r>
      <w:r w:rsidR="00F21471">
        <w:rPr>
          <w:rFonts w:ascii="Times" w:hAnsi="Times" w:cs="Times" w:hint="eastAsia"/>
          <w:lang w:val="en-US" w:eastAsia="ja-JP"/>
        </w:rPr>
        <w:t>can be</w:t>
      </w:r>
      <w:r>
        <w:rPr>
          <w:rFonts w:ascii="Times" w:hAnsi="Times" w:cs="Times"/>
          <w:lang w:val="en-US" w:eastAsia="ja-JP"/>
        </w:rPr>
        <w:t xml:space="preserve"> correctly reflected.</w:t>
      </w:r>
    </w:p>
    <w:p w:rsidR="00E91B2D" w:rsidRPr="00E91B2D" w:rsidRDefault="00E91B2D" w:rsidP="00123F4A">
      <w:pPr>
        <w:tabs>
          <w:tab w:val="left" w:pos="567"/>
        </w:tabs>
        <w:snapToGrid w:val="0"/>
        <w:ind w:left="567"/>
        <w:rPr>
          <w:b/>
          <w:lang w:eastAsia="ja-JP"/>
        </w:rPr>
      </w:pPr>
      <w:r w:rsidRPr="00E91B2D">
        <w:rPr>
          <w:rFonts w:ascii="Times" w:hAnsi="Times" w:cs="Times" w:hint="eastAsia"/>
          <w:b/>
          <w:lang w:val="en-US" w:eastAsia="ja-JP"/>
        </w:rPr>
        <w:lastRenderedPageBreak/>
        <w:t xml:space="preserve">Proposal 1: </w:t>
      </w:r>
      <w:r w:rsidRPr="00E91B2D">
        <w:rPr>
          <w:rFonts w:hint="eastAsia"/>
          <w:b/>
          <w:lang w:eastAsia="ja-JP"/>
        </w:rPr>
        <w:t xml:space="preserve">When </w:t>
      </w:r>
      <w:r w:rsidRPr="00E91B2D">
        <w:rPr>
          <w:rFonts w:ascii="Times" w:hAnsi="Times" w:cs="Times" w:hint="eastAsia"/>
          <w:b/>
          <w:lang w:val="en-US" w:eastAsia="ja-JP"/>
        </w:rPr>
        <w:t xml:space="preserve">the same-PCI indicator is set to true, to use antenna port 0 and 1 for the transmission of </w:t>
      </w:r>
      <w:r w:rsidRPr="00E91B2D">
        <w:rPr>
          <w:rFonts w:hint="eastAsia"/>
          <w:b/>
          <w:lang w:eastAsia="ja-JP"/>
        </w:rPr>
        <w:t xml:space="preserve">NRS, NPDCCH, NPDSCH and NBPCH. When </w:t>
      </w:r>
      <w:r w:rsidRPr="00E91B2D">
        <w:rPr>
          <w:rFonts w:ascii="Times" w:hAnsi="Times" w:cs="Times" w:hint="eastAsia"/>
          <w:b/>
          <w:lang w:val="en-US" w:eastAsia="ja-JP"/>
        </w:rPr>
        <w:t xml:space="preserve">the same-PCI indicator is set to false, to use new antenna port (for example port 1000 and 1001) for the transmission of </w:t>
      </w:r>
      <w:r w:rsidRPr="00E91B2D">
        <w:rPr>
          <w:rFonts w:hint="eastAsia"/>
          <w:b/>
          <w:lang w:eastAsia="ja-JP"/>
        </w:rPr>
        <w:t>NRS, NPDCCH, NPDSCH and NBPCH.</w:t>
      </w:r>
      <w:r w:rsidR="00ED7646">
        <w:rPr>
          <w:rFonts w:hint="eastAsia"/>
          <w:b/>
          <w:lang w:eastAsia="ja-JP"/>
        </w:rPr>
        <w:t xml:space="preserve"> If only one antenna port is used, to use only port 0 and port 1000 for respective case</w:t>
      </w:r>
      <w:r w:rsidR="00D53AD6">
        <w:rPr>
          <w:rFonts w:hint="eastAsia"/>
          <w:b/>
          <w:lang w:eastAsia="ja-JP"/>
        </w:rPr>
        <w:t>s</w:t>
      </w:r>
      <w:r w:rsidR="00ED7646">
        <w:rPr>
          <w:rFonts w:hint="eastAsia"/>
          <w:b/>
          <w:lang w:eastAsia="ja-JP"/>
        </w:rPr>
        <w:t>.</w:t>
      </w:r>
    </w:p>
    <w:p w:rsidR="00E91B2D" w:rsidRDefault="00E91B2D" w:rsidP="00E91B2D">
      <w:pPr>
        <w:tabs>
          <w:tab w:val="left" w:pos="567"/>
        </w:tabs>
        <w:snapToGrid w:val="0"/>
        <w:rPr>
          <w:lang w:eastAsia="ja-JP"/>
        </w:rPr>
      </w:pPr>
    </w:p>
    <w:p w:rsidR="00E91B2D" w:rsidRDefault="005C5AA4" w:rsidP="00E91B2D">
      <w:pPr>
        <w:tabs>
          <w:tab w:val="left" w:pos="567"/>
        </w:tabs>
        <w:snapToGrid w:val="0"/>
        <w:rPr>
          <w:lang w:eastAsia="ja-JP"/>
        </w:rPr>
      </w:pPr>
      <w:r>
        <w:rPr>
          <w:rFonts w:hint="eastAsia"/>
          <w:lang w:eastAsia="ja-JP"/>
        </w:rPr>
        <w:t xml:space="preserve">If port 1000 and 1001 are used for </w:t>
      </w:r>
      <w:r>
        <w:rPr>
          <w:lang w:eastAsia="ja-JP"/>
        </w:rPr>
        <w:t>NRS, NPDCCH, NPDSCH and NBPCH</w:t>
      </w:r>
      <w:r>
        <w:rPr>
          <w:rFonts w:hint="eastAsia"/>
          <w:lang w:eastAsia="ja-JP"/>
        </w:rPr>
        <w:t xml:space="preserve">, the relations of two ports </w:t>
      </w:r>
      <w:r w:rsidR="00D53AD6">
        <w:rPr>
          <w:lang w:eastAsia="ja-JP"/>
        </w:rPr>
        <w:t>need</w:t>
      </w:r>
      <w:r>
        <w:rPr>
          <w:rFonts w:hint="eastAsia"/>
          <w:lang w:eastAsia="ja-JP"/>
        </w:rPr>
        <w:t xml:space="preserve"> to be specified as following.</w:t>
      </w:r>
    </w:p>
    <w:p w:rsidR="005C5AA4" w:rsidRPr="00123F4A" w:rsidRDefault="005C5AA4" w:rsidP="00123F4A">
      <w:pPr>
        <w:tabs>
          <w:tab w:val="left" w:pos="567"/>
        </w:tabs>
        <w:snapToGrid w:val="0"/>
        <w:ind w:left="567"/>
        <w:rPr>
          <w:b/>
          <w:lang w:eastAsia="ja-JP"/>
        </w:rPr>
      </w:pPr>
      <w:r w:rsidRPr="00123F4A">
        <w:rPr>
          <w:rFonts w:hint="eastAsia"/>
          <w:b/>
          <w:lang w:eastAsia="ja-JP"/>
        </w:rPr>
        <w:t>Proposal 2: To agree following</w:t>
      </w:r>
      <w:r w:rsidR="00123F4A">
        <w:rPr>
          <w:rFonts w:hint="eastAsia"/>
          <w:b/>
          <w:lang w:eastAsia="ja-JP"/>
        </w:rPr>
        <w:t>:</w:t>
      </w:r>
    </w:p>
    <w:p w:rsidR="005C5AA4" w:rsidRPr="00123F4A" w:rsidRDefault="005C5AA4" w:rsidP="00123F4A">
      <w:pPr>
        <w:tabs>
          <w:tab w:val="left" w:pos="567"/>
        </w:tabs>
        <w:snapToGrid w:val="0"/>
        <w:ind w:left="852"/>
        <w:rPr>
          <w:b/>
          <w:lang w:eastAsia="ja-JP"/>
        </w:rPr>
      </w:pPr>
      <w:r w:rsidRPr="00123F4A">
        <w:rPr>
          <w:b/>
          <w:lang w:eastAsia="ja-JP"/>
        </w:rPr>
        <w:t xml:space="preserve">A UE may assume the antenna ports </w:t>
      </w:r>
      <w:r w:rsidRPr="00123F4A">
        <w:rPr>
          <w:rFonts w:hint="eastAsia"/>
          <w:b/>
          <w:lang w:eastAsia="ja-JP"/>
        </w:rPr>
        <w:t>100</w:t>
      </w:r>
      <w:r w:rsidRPr="00123F4A">
        <w:rPr>
          <w:b/>
          <w:lang w:eastAsia="ja-JP"/>
        </w:rPr>
        <w:t xml:space="preserve">0 – </w:t>
      </w:r>
      <w:r w:rsidRPr="00123F4A">
        <w:rPr>
          <w:rFonts w:hint="eastAsia"/>
          <w:b/>
          <w:lang w:eastAsia="ja-JP"/>
        </w:rPr>
        <w:t>1001</w:t>
      </w:r>
      <w:r w:rsidRPr="00123F4A">
        <w:rPr>
          <w:b/>
          <w:lang w:eastAsia="ja-JP"/>
        </w:rPr>
        <w:t xml:space="preserve"> of a serving cell are quasi co-located (as defined in [3]) with respect to delay spread, Doppler spread, Doppler shift, average gain, and average delay.</w:t>
      </w:r>
    </w:p>
    <w:p w:rsidR="00E91B2D" w:rsidRDefault="00E91B2D" w:rsidP="00E91B2D">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123F4A" w:rsidRPr="00E91B2D" w:rsidRDefault="00123F4A" w:rsidP="00123F4A">
      <w:pPr>
        <w:tabs>
          <w:tab w:val="left" w:pos="567"/>
        </w:tabs>
        <w:snapToGrid w:val="0"/>
        <w:ind w:left="567"/>
        <w:rPr>
          <w:b/>
          <w:lang w:eastAsia="ja-JP"/>
        </w:rPr>
      </w:pPr>
      <w:r w:rsidRPr="00E91B2D">
        <w:rPr>
          <w:rFonts w:ascii="Times" w:hAnsi="Times" w:cs="Times" w:hint="eastAsia"/>
          <w:b/>
          <w:lang w:val="en-US" w:eastAsia="ja-JP"/>
        </w:rPr>
        <w:t xml:space="preserve">Proposal 1: </w:t>
      </w:r>
      <w:r w:rsidRPr="00E91B2D">
        <w:rPr>
          <w:rFonts w:hint="eastAsia"/>
          <w:b/>
          <w:lang w:eastAsia="ja-JP"/>
        </w:rPr>
        <w:t xml:space="preserve">When </w:t>
      </w:r>
      <w:r w:rsidRPr="00E91B2D">
        <w:rPr>
          <w:rFonts w:ascii="Times" w:hAnsi="Times" w:cs="Times" w:hint="eastAsia"/>
          <w:b/>
          <w:lang w:val="en-US" w:eastAsia="ja-JP"/>
        </w:rPr>
        <w:t xml:space="preserve">the same-PCI indicator is set to true, to use antenna port 0 and 1 for the transmission of </w:t>
      </w:r>
      <w:r w:rsidRPr="00E91B2D">
        <w:rPr>
          <w:rFonts w:hint="eastAsia"/>
          <w:b/>
          <w:lang w:eastAsia="ja-JP"/>
        </w:rPr>
        <w:t xml:space="preserve">NRS, NPDCCH, NPDSCH and NBPCH. When </w:t>
      </w:r>
      <w:r w:rsidRPr="00E91B2D">
        <w:rPr>
          <w:rFonts w:ascii="Times" w:hAnsi="Times" w:cs="Times" w:hint="eastAsia"/>
          <w:b/>
          <w:lang w:val="en-US" w:eastAsia="ja-JP"/>
        </w:rPr>
        <w:t xml:space="preserve">the same-PCI indicator is set to false, to use new antenna port (for example port 1000 and 1001) for the transmission of </w:t>
      </w:r>
      <w:r w:rsidRPr="00E91B2D">
        <w:rPr>
          <w:rFonts w:hint="eastAsia"/>
          <w:b/>
          <w:lang w:eastAsia="ja-JP"/>
        </w:rPr>
        <w:t>NRS, NPDCCH, NPDSCH and NBPCH.</w:t>
      </w:r>
    </w:p>
    <w:p w:rsidR="00F018D7" w:rsidRDefault="00F018D7" w:rsidP="00C0347D">
      <w:pPr>
        <w:pStyle w:val="TdocHeader2"/>
        <w:jc w:val="left"/>
        <w:rPr>
          <w:rFonts w:eastAsiaTheme="minorEastAsia"/>
          <w:lang w:eastAsia="ja-JP"/>
        </w:rPr>
      </w:pPr>
    </w:p>
    <w:p w:rsidR="00123F4A" w:rsidRPr="00123F4A" w:rsidRDefault="00123F4A" w:rsidP="00123F4A">
      <w:pPr>
        <w:tabs>
          <w:tab w:val="left" w:pos="567"/>
        </w:tabs>
        <w:snapToGrid w:val="0"/>
        <w:ind w:left="567"/>
        <w:rPr>
          <w:b/>
          <w:lang w:eastAsia="ja-JP"/>
        </w:rPr>
      </w:pPr>
      <w:r w:rsidRPr="00123F4A">
        <w:rPr>
          <w:rFonts w:hint="eastAsia"/>
          <w:b/>
          <w:lang w:eastAsia="ja-JP"/>
        </w:rPr>
        <w:t>Proposal 2: To agree following</w:t>
      </w:r>
      <w:r>
        <w:rPr>
          <w:rFonts w:hint="eastAsia"/>
          <w:b/>
          <w:lang w:eastAsia="ja-JP"/>
        </w:rPr>
        <w:t>:</w:t>
      </w:r>
    </w:p>
    <w:p w:rsidR="00123F4A" w:rsidRPr="00123F4A" w:rsidRDefault="00123F4A" w:rsidP="00123F4A">
      <w:pPr>
        <w:tabs>
          <w:tab w:val="left" w:pos="567"/>
        </w:tabs>
        <w:snapToGrid w:val="0"/>
        <w:ind w:left="852"/>
        <w:rPr>
          <w:b/>
          <w:lang w:eastAsia="ja-JP"/>
        </w:rPr>
      </w:pPr>
      <w:r w:rsidRPr="00123F4A">
        <w:rPr>
          <w:b/>
          <w:lang w:eastAsia="ja-JP"/>
        </w:rPr>
        <w:t xml:space="preserve">A UE may assume the antenna ports </w:t>
      </w:r>
      <w:r w:rsidRPr="00123F4A">
        <w:rPr>
          <w:rFonts w:hint="eastAsia"/>
          <w:b/>
          <w:lang w:eastAsia="ja-JP"/>
        </w:rPr>
        <w:t>100</w:t>
      </w:r>
      <w:r w:rsidRPr="00123F4A">
        <w:rPr>
          <w:b/>
          <w:lang w:eastAsia="ja-JP"/>
        </w:rPr>
        <w:t xml:space="preserve">0 – </w:t>
      </w:r>
      <w:r w:rsidRPr="00123F4A">
        <w:rPr>
          <w:rFonts w:hint="eastAsia"/>
          <w:b/>
          <w:lang w:eastAsia="ja-JP"/>
        </w:rPr>
        <w:t>1001</w:t>
      </w:r>
      <w:r w:rsidRPr="00123F4A">
        <w:rPr>
          <w:b/>
          <w:lang w:eastAsia="ja-JP"/>
        </w:rPr>
        <w:t xml:space="preserve"> of a serving cell are quasi co-located (as defined in [3]) with respect to delay spread, Doppler spread, Doppler shift, average gain, and average delay.</w:t>
      </w:r>
    </w:p>
    <w:p w:rsidR="00336266" w:rsidRDefault="00336266" w:rsidP="005F570E">
      <w:pPr>
        <w:rPr>
          <w:rFonts w:cs="Arial"/>
          <w:b/>
          <w:lang w:eastAsia="ja-JP"/>
        </w:rPr>
      </w:pP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184315" w:rsidRDefault="00184315" w:rsidP="00184315">
      <w:pPr>
        <w:tabs>
          <w:tab w:val="left" w:pos="567"/>
        </w:tabs>
        <w:snapToGrid w:val="0"/>
        <w:rPr>
          <w:lang w:eastAsia="ja-JP"/>
        </w:rPr>
      </w:pPr>
      <w:r>
        <w:rPr>
          <w:rFonts w:hint="eastAsia"/>
          <w:lang w:eastAsia="ja-JP"/>
        </w:rPr>
        <w:t>[1]</w:t>
      </w:r>
      <w:r>
        <w:rPr>
          <w:rFonts w:hint="eastAsia"/>
          <w:lang w:eastAsia="ja-JP"/>
        </w:rPr>
        <w:tab/>
      </w:r>
      <w:r w:rsidR="00123F4A">
        <w:rPr>
          <w:lang w:eastAsia="ja-JP"/>
        </w:rPr>
        <w:t>R1-16</w:t>
      </w:r>
      <w:r w:rsidR="00123F4A">
        <w:rPr>
          <w:rFonts w:hint="eastAsia"/>
          <w:lang w:eastAsia="ja-JP"/>
        </w:rPr>
        <w:t>3952</w:t>
      </w:r>
      <w:r>
        <w:rPr>
          <w:rFonts w:hint="eastAsia"/>
          <w:lang w:eastAsia="ja-JP"/>
        </w:rPr>
        <w:t xml:space="preserve"> </w:t>
      </w:r>
      <w:r>
        <w:rPr>
          <w:rFonts w:hint="eastAsia"/>
          <w:lang w:eastAsia="ja-JP"/>
        </w:rPr>
        <w:tab/>
      </w:r>
      <w:r w:rsidR="00733C9C">
        <w:rPr>
          <w:lang w:eastAsia="ja-JP"/>
        </w:rPr>
        <w:t>CR to TS36.</w:t>
      </w:r>
      <w:r w:rsidR="00123F4A">
        <w:rPr>
          <w:rFonts w:hint="eastAsia"/>
          <w:lang w:eastAsia="ja-JP"/>
        </w:rPr>
        <w:t xml:space="preserve">211 </w:t>
      </w:r>
      <w:r w:rsidR="00123F4A" w:rsidRPr="00123F4A">
        <w:rPr>
          <w:lang w:eastAsia="ja-JP"/>
        </w:rPr>
        <w:t>Introduction of NB-IoT</w:t>
      </w:r>
    </w:p>
    <w:p w:rsidR="00123F4A" w:rsidRDefault="00123F4A" w:rsidP="00184315">
      <w:pPr>
        <w:tabs>
          <w:tab w:val="left" w:pos="567"/>
        </w:tabs>
        <w:snapToGrid w:val="0"/>
        <w:rPr>
          <w:lang w:eastAsia="ja-JP"/>
        </w:rPr>
      </w:pPr>
      <w:r>
        <w:rPr>
          <w:rFonts w:hint="eastAsia"/>
          <w:lang w:eastAsia="ja-JP"/>
        </w:rPr>
        <w:t>[2]</w:t>
      </w:r>
      <w:r>
        <w:rPr>
          <w:rFonts w:hint="eastAsia"/>
          <w:lang w:eastAsia="ja-JP"/>
        </w:rPr>
        <w:tab/>
        <w:t>R1-164305</w:t>
      </w:r>
      <w:r>
        <w:rPr>
          <w:rFonts w:hint="eastAsia"/>
          <w:lang w:eastAsia="ja-JP"/>
        </w:rPr>
        <w:tab/>
      </w:r>
      <w:r>
        <w:rPr>
          <w:lang w:eastAsia="ja-JP"/>
        </w:rPr>
        <w:t>CR to TS36.21</w:t>
      </w:r>
      <w:r>
        <w:rPr>
          <w:rFonts w:hint="eastAsia"/>
          <w:lang w:eastAsia="ja-JP"/>
        </w:rPr>
        <w:t>3</w:t>
      </w:r>
      <w:r w:rsidRPr="00123F4A">
        <w:rPr>
          <w:lang w:eastAsia="ja-JP"/>
        </w:rPr>
        <w:t xml:space="preserve"> Introduction of NB-IoT</w:t>
      </w:r>
    </w:p>
    <w:p w:rsidR="0045740A" w:rsidRDefault="0045740A" w:rsidP="000206CA">
      <w:pPr>
        <w:pStyle w:val="TdocHeader2"/>
        <w:jc w:val="left"/>
        <w:rPr>
          <w:rFonts w:eastAsiaTheme="minorEastAsia"/>
          <w:sz w:val="24"/>
          <w:lang w:eastAsia="ja-JP"/>
        </w:rPr>
      </w:pPr>
    </w:p>
    <w:sectPr w:rsidR="00457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771" w:rsidRDefault="00187771">
      <w:r>
        <w:separator/>
      </w:r>
    </w:p>
  </w:endnote>
  <w:endnote w:type="continuationSeparator" w:id="0">
    <w:p w:rsidR="00187771" w:rsidRDefault="00187771">
      <w:r>
        <w:continuationSeparator/>
      </w:r>
    </w:p>
  </w:endnote>
  <w:endnote w:type="continuationNotice" w:id="1">
    <w:p w:rsidR="00187771" w:rsidRDefault="00187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9733D">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771" w:rsidRDefault="00187771">
      <w:r>
        <w:separator/>
      </w:r>
    </w:p>
  </w:footnote>
  <w:footnote w:type="continuationSeparator" w:id="0">
    <w:p w:rsidR="00187771" w:rsidRDefault="00187771">
      <w:r>
        <w:continuationSeparator/>
      </w:r>
    </w:p>
  </w:footnote>
  <w:footnote w:type="continuationNotice" w:id="1">
    <w:p w:rsidR="00187771" w:rsidRDefault="001877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6">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4">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0"/>
  </w:num>
  <w:num w:numId="2">
    <w:abstractNumId w:val="23"/>
  </w:num>
  <w:num w:numId="3">
    <w:abstractNumId w:val="7"/>
  </w:num>
  <w:num w:numId="4">
    <w:abstractNumId w:val="17"/>
  </w:num>
  <w:num w:numId="5">
    <w:abstractNumId w:val="10"/>
  </w:num>
  <w:num w:numId="6">
    <w:abstractNumId w:val="11"/>
  </w:num>
  <w:num w:numId="7">
    <w:abstractNumId w:val="9"/>
  </w:num>
  <w:num w:numId="8">
    <w:abstractNumId w:val="21"/>
  </w:num>
  <w:num w:numId="9">
    <w:abstractNumId w:val="4"/>
  </w:num>
  <w:num w:numId="10">
    <w:abstractNumId w:val="6"/>
  </w:num>
  <w:num w:numId="11">
    <w:abstractNumId w:val="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2"/>
  </w:num>
  <w:num w:numId="16">
    <w:abstractNumId w:val="13"/>
  </w:num>
  <w:num w:numId="17">
    <w:abstractNumId w:val="19"/>
  </w:num>
  <w:num w:numId="18">
    <w:abstractNumId w:val="16"/>
  </w:num>
  <w:num w:numId="19">
    <w:abstractNumId w:val="24"/>
  </w:num>
  <w:num w:numId="20">
    <w:abstractNumId w:val="14"/>
  </w:num>
  <w:num w:numId="21">
    <w:abstractNumId w:val="5"/>
  </w:num>
  <w:num w:numId="22">
    <w:abstractNumId w:val="0"/>
  </w:num>
  <w:num w:numId="23">
    <w:abstractNumId w:val="15"/>
  </w:num>
  <w:num w:numId="24">
    <w:abstractNumId w:val="1"/>
  </w:num>
  <w:num w:numId="25">
    <w:abstractNumId w:val="2"/>
  </w:num>
  <w:num w:numId="26">
    <w:abstractNumId w:val="22"/>
  </w:num>
  <w:num w:numId="2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554C"/>
    <w:rsid w:val="00106F60"/>
    <w:rsid w:val="00107D5D"/>
    <w:rsid w:val="00107F2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87771"/>
    <w:rsid w:val="00190C74"/>
    <w:rsid w:val="00191C14"/>
    <w:rsid w:val="001926EC"/>
    <w:rsid w:val="00193AA8"/>
    <w:rsid w:val="00195181"/>
    <w:rsid w:val="00195842"/>
    <w:rsid w:val="00197E18"/>
    <w:rsid w:val="001A0C7D"/>
    <w:rsid w:val="001A1581"/>
    <w:rsid w:val="001A21CC"/>
    <w:rsid w:val="001A3319"/>
    <w:rsid w:val="001A386B"/>
    <w:rsid w:val="001A4693"/>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FF7"/>
    <w:rsid w:val="00212D25"/>
    <w:rsid w:val="00213CA5"/>
    <w:rsid w:val="00214A85"/>
    <w:rsid w:val="00214EAF"/>
    <w:rsid w:val="00215A3B"/>
    <w:rsid w:val="002160D0"/>
    <w:rsid w:val="00217133"/>
    <w:rsid w:val="0021799B"/>
    <w:rsid w:val="00217D60"/>
    <w:rsid w:val="002200AE"/>
    <w:rsid w:val="0022014A"/>
    <w:rsid w:val="00221270"/>
    <w:rsid w:val="002215AA"/>
    <w:rsid w:val="00221B5F"/>
    <w:rsid w:val="00221CE3"/>
    <w:rsid w:val="00222369"/>
    <w:rsid w:val="00222445"/>
    <w:rsid w:val="002226F9"/>
    <w:rsid w:val="00222DE4"/>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516"/>
    <w:rsid w:val="002C1CE6"/>
    <w:rsid w:val="002C2652"/>
    <w:rsid w:val="002C27D6"/>
    <w:rsid w:val="002C32AD"/>
    <w:rsid w:val="002C3326"/>
    <w:rsid w:val="002C3343"/>
    <w:rsid w:val="002C4466"/>
    <w:rsid w:val="002C57C5"/>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CB"/>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B03"/>
    <w:rsid w:val="00374322"/>
    <w:rsid w:val="00374655"/>
    <w:rsid w:val="0037528F"/>
    <w:rsid w:val="00375480"/>
    <w:rsid w:val="003756F7"/>
    <w:rsid w:val="00376092"/>
    <w:rsid w:val="00376319"/>
    <w:rsid w:val="0037637F"/>
    <w:rsid w:val="00381AF4"/>
    <w:rsid w:val="00382F66"/>
    <w:rsid w:val="00383089"/>
    <w:rsid w:val="003831E7"/>
    <w:rsid w:val="003847FD"/>
    <w:rsid w:val="0038537C"/>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750"/>
    <w:rsid w:val="004A1190"/>
    <w:rsid w:val="004A1697"/>
    <w:rsid w:val="004A1A12"/>
    <w:rsid w:val="004A1BA0"/>
    <w:rsid w:val="004A20E7"/>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5AA4"/>
    <w:rsid w:val="005C5EA8"/>
    <w:rsid w:val="005C613B"/>
    <w:rsid w:val="005C6176"/>
    <w:rsid w:val="005C6ABE"/>
    <w:rsid w:val="005C6C28"/>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4DC"/>
    <w:rsid w:val="00600972"/>
    <w:rsid w:val="00602511"/>
    <w:rsid w:val="00602601"/>
    <w:rsid w:val="006031C0"/>
    <w:rsid w:val="006031D7"/>
    <w:rsid w:val="00603FCE"/>
    <w:rsid w:val="0060438C"/>
    <w:rsid w:val="006048FB"/>
    <w:rsid w:val="00604DE1"/>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337F"/>
    <w:rsid w:val="006934D1"/>
    <w:rsid w:val="00693DD0"/>
    <w:rsid w:val="00694A2B"/>
    <w:rsid w:val="006950B1"/>
    <w:rsid w:val="006951CF"/>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5637"/>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7495"/>
    <w:rsid w:val="007377B7"/>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33D"/>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533"/>
    <w:rsid w:val="009426B0"/>
    <w:rsid w:val="009432FF"/>
    <w:rsid w:val="00943715"/>
    <w:rsid w:val="00944376"/>
    <w:rsid w:val="00945911"/>
    <w:rsid w:val="0094659C"/>
    <w:rsid w:val="00946F41"/>
    <w:rsid w:val="00947B90"/>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642"/>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2DC"/>
    <w:rsid w:val="00A3032D"/>
    <w:rsid w:val="00A323DC"/>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3B3"/>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3011"/>
    <w:rsid w:val="00B54305"/>
    <w:rsid w:val="00B54834"/>
    <w:rsid w:val="00B54849"/>
    <w:rsid w:val="00B552E4"/>
    <w:rsid w:val="00B556BF"/>
    <w:rsid w:val="00B55D21"/>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1C1B"/>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BD4"/>
    <w:rsid w:val="00BC6038"/>
    <w:rsid w:val="00BC63AB"/>
    <w:rsid w:val="00BC6671"/>
    <w:rsid w:val="00BC6956"/>
    <w:rsid w:val="00BC7182"/>
    <w:rsid w:val="00BC7F04"/>
    <w:rsid w:val="00BD0053"/>
    <w:rsid w:val="00BD104E"/>
    <w:rsid w:val="00BD148C"/>
    <w:rsid w:val="00BD5D19"/>
    <w:rsid w:val="00BD6010"/>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2948"/>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4E5"/>
    <w:rsid w:val="00D31649"/>
    <w:rsid w:val="00D31833"/>
    <w:rsid w:val="00D318DD"/>
    <w:rsid w:val="00D3284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AD6"/>
    <w:rsid w:val="00D53DBA"/>
    <w:rsid w:val="00D54C14"/>
    <w:rsid w:val="00D55514"/>
    <w:rsid w:val="00D5585A"/>
    <w:rsid w:val="00D56D27"/>
    <w:rsid w:val="00D5785C"/>
    <w:rsid w:val="00D63567"/>
    <w:rsid w:val="00D6365D"/>
    <w:rsid w:val="00D6366A"/>
    <w:rsid w:val="00D63F4D"/>
    <w:rsid w:val="00D64397"/>
    <w:rsid w:val="00D6445A"/>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1620"/>
    <w:rsid w:val="00E91B2D"/>
    <w:rsid w:val="00E92489"/>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661"/>
    <w:rsid w:val="00F02674"/>
    <w:rsid w:val="00F02767"/>
    <w:rsid w:val="00F02855"/>
    <w:rsid w:val="00F02876"/>
    <w:rsid w:val="00F02BA5"/>
    <w:rsid w:val="00F030E1"/>
    <w:rsid w:val="00F0385C"/>
    <w:rsid w:val="00F03CC3"/>
    <w:rsid w:val="00F03E06"/>
    <w:rsid w:val="00F05100"/>
    <w:rsid w:val="00F0511B"/>
    <w:rsid w:val="00F05667"/>
    <w:rsid w:val="00F060DC"/>
    <w:rsid w:val="00F06429"/>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E9F78-D1D3-4FCB-B26F-41C09624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584</Words>
  <Characters>3335</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18</cp:revision>
  <cp:lastPrinted>2010-04-02T09:58:00Z</cp:lastPrinted>
  <dcterms:created xsi:type="dcterms:W3CDTF">2016-05-11T05:38:00Z</dcterms:created>
  <dcterms:modified xsi:type="dcterms:W3CDTF">2016-05-13T09:44:00Z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